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5" w:rsidRDefault="00865835"/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>сельского поселения Светлый</w:t>
      </w:r>
    </w:p>
    <w:p w:rsidR="00865835" w:rsidRDefault="00865835" w:rsidP="00865835">
      <w:pPr>
        <w:jc w:val="right"/>
      </w:pPr>
      <w:r>
        <w:t xml:space="preserve">от </w:t>
      </w:r>
      <w:r w:rsidR="0089444A">
        <w:t>27.12.2022</w:t>
      </w:r>
      <w:r>
        <w:t xml:space="preserve"> № </w:t>
      </w:r>
      <w:r w:rsidR="0089444A">
        <w:t>181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89444A">
        <w:rPr>
          <w:b/>
          <w:sz w:val="28"/>
          <w:szCs w:val="28"/>
        </w:rPr>
        <w:t>3</w:t>
      </w:r>
      <w:r w:rsidRPr="000C4FBA">
        <w:rPr>
          <w:b/>
          <w:sz w:val="28"/>
          <w:szCs w:val="28"/>
        </w:rPr>
        <w:t xml:space="preserve"> год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8944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,на 202</w:t>
            </w:r>
            <w:r w:rsidR="0089444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сельского поселения Светлый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формирование единого понимания обязательных требований у всех участников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8944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89444A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сельского поселения Светлый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>сельского поселения Светлый</w:t>
      </w:r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>решение Совета депутатов сельского поселения Светлый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89444A">
        <w:rPr>
          <w:rFonts w:eastAsia="Calibri"/>
          <w:sz w:val="28"/>
          <w:szCs w:val="28"/>
        </w:rPr>
        <w:t xml:space="preserve">2 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Pr="00A56BC5">
        <w:rPr>
          <w:rFonts w:eastAsia="Calibri"/>
          <w:sz w:val="28"/>
          <w:szCs w:val="28"/>
        </w:rPr>
        <w:t xml:space="preserve">по муниципальному контролюсоставляет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1466A0" w:rsidRDefault="0089444A" w:rsidP="0089444A">
      <w:pPr>
        <w:jc w:val="both"/>
        <w:rPr>
          <w:rFonts w:eastAsiaTheme="minorEastAsia"/>
          <w:sz w:val="28"/>
          <w:szCs w:val="28"/>
        </w:rPr>
      </w:pPr>
      <w:r w:rsidRPr="001466A0">
        <w:rPr>
          <w:rFonts w:eastAsiaTheme="minorEastAsia"/>
          <w:sz w:val="28"/>
          <w:szCs w:val="28"/>
        </w:rPr>
        <w:t xml:space="preserve">В  соответствии с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>
        <w:rPr>
          <w:rFonts w:eastAsiaTheme="minorEastAsia"/>
          <w:sz w:val="28"/>
          <w:szCs w:val="28"/>
        </w:rPr>
        <w:t>№1520 «</w:t>
      </w:r>
      <w:r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rFonts w:eastAsiaTheme="minorEastAsia"/>
          <w:sz w:val="28"/>
          <w:szCs w:val="28"/>
        </w:rPr>
        <w:t xml:space="preserve">»,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>
        <w:rPr>
          <w:rFonts w:eastAsiaTheme="minorEastAsia"/>
          <w:sz w:val="28"/>
          <w:szCs w:val="28"/>
        </w:rPr>
        <w:t>№</w:t>
      </w:r>
      <w:r w:rsidRPr="004170CE">
        <w:rPr>
          <w:rFonts w:eastAsiaTheme="minorEastAsia"/>
          <w:sz w:val="28"/>
          <w:szCs w:val="28"/>
        </w:rPr>
        <w:t xml:space="preserve">336 (ред. от 02.09.2022) </w:t>
      </w:r>
      <w:r>
        <w:rPr>
          <w:rFonts w:eastAsiaTheme="minorEastAsia"/>
          <w:sz w:val="28"/>
          <w:szCs w:val="28"/>
        </w:rPr>
        <w:t>«</w:t>
      </w:r>
      <w:r w:rsidRPr="004170CE">
        <w:rPr>
          <w:rFonts w:eastAsiaTheme="minorEastAsia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eastAsiaTheme="minorEastAsia"/>
          <w:sz w:val="28"/>
          <w:szCs w:val="28"/>
        </w:rPr>
        <w:t>»</w:t>
      </w:r>
      <w:r w:rsidRPr="001466A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466A0">
        <w:rPr>
          <w:sz w:val="28"/>
          <w:szCs w:val="28"/>
        </w:rPr>
        <w:t xml:space="preserve"> году плановые проверки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1466A0">
        <w:rPr>
          <w:sz w:val="28"/>
          <w:szCs w:val="28"/>
        </w:rPr>
        <w:t xml:space="preserve"> не проводились.</w:t>
      </w:r>
    </w:p>
    <w:p w:rsidR="00F13DCB" w:rsidRDefault="00F13DCB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</w:t>
      </w:r>
      <w:r w:rsidRPr="00E51FC5">
        <w:rPr>
          <w:rFonts w:eastAsia="Calibri"/>
          <w:sz w:val="28"/>
          <w:szCs w:val="28"/>
        </w:rPr>
        <w:lastRenderedPageBreak/>
        <w:t xml:space="preserve">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контроля за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за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оформления результатов таких мероприятий;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административный  регламент осуществления муниципального контроля за соблюдением правил благоустройства на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риска причинения вреда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наофициальных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3564" w:rsidRDefault="00B568E8" w:rsidP="00AA077E">
      <w:pPr>
        <w:jc w:val="right"/>
      </w:pPr>
      <w:r>
        <w:lastRenderedPageBreak/>
        <w:t>Приложение</w:t>
      </w:r>
    </w:p>
    <w:p w:rsidR="00B568E8" w:rsidRDefault="00B568E8" w:rsidP="00AA077E">
      <w:pPr>
        <w:jc w:val="right"/>
      </w:pPr>
      <w:r>
        <w:t xml:space="preserve">к </w:t>
      </w:r>
      <w:r w:rsidR="00FB3564">
        <w:t>п</w:t>
      </w:r>
      <w:r w:rsidRPr="00960303">
        <w:t>рограмм</w:t>
      </w:r>
      <w:r>
        <w:t>е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89444A">
        <w:rPr>
          <w:b/>
          <w:bCs/>
          <w:sz w:val="32"/>
          <w:szCs w:val="32"/>
        </w:rPr>
        <w:t>3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4416CB" w:rsidP="0089444A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89444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F94B9C" w:rsidRDefault="00BA67EF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огоприема </w:t>
            </w:r>
            <w:r w:rsidR="00AC11D6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AC11D6" w:rsidRDefault="00F02C1F" w:rsidP="00BA67E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58-6-32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A67EF" w:rsidRPr="00F94B9C" w:rsidRDefault="00BA67EF" w:rsidP="00BA67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0E" w:rsidRDefault="000C6B0E" w:rsidP="00665625">
      <w:r>
        <w:separator/>
      </w:r>
    </w:p>
  </w:endnote>
  <w:endnote w:type="continuationSeparator" w:id="1">
    <w:p w:rsidR="000C6B0E" w:rsidRDefault="000C6B0E" w:rsidP="0066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0E" w:rsidRDefault="000C6B0E" w:rsidP="00665625">
      <w:r>
        <w:separator/>
      </w:r>
    </w:p>
  </w:footnote>
  <w:footnote w:type="continuationSeparator" w:id="1">
    <w:p w:rsidR="000C6B0E" w:rsidRDefault="000C6B0E" w:rsidP="0066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C6B0E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5F5641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598"/>
    <w:rsid w:val="00FE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77B-8375-48D0-8101-45B61E0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2021-11-09T07:35:00Z</cp:lastPrinted>
  <dcterms:created xsi:type="dcterms:W3CDTF">2022-12-29T10:21:00Z</dcterms:created>
  <dcterms:modified xsi:type="dcterms:W3CDTF">2022-12-29T10:21:00Z</dcterms:modified>
</cp:coreProperties>
</file>